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3EF9" w14:textId="77777777" w:rsidR="00875CC3" w:rsidRDefault="00875CC3"/>
    <w:p w14:paraId="70DCBCE2" w14:textId="77777777" w:rsidR="00E34254" w:rsidRPr="00B90C70" w:rsidRDefault="00E34254" w:rsidP="00B90C70">
      <w:pPr>
        <w:jc w:val="center"/>
        <w:rPr>
          <w:b/>
          <w:bCs/>
          <w:i/>
          <w:iCs/>
          <w:sz w:val="28"/>
          <w:szCs w:val="28"/>
        </w:rPr>
      </w:pPr>
      <w:r w:rsidRPr="00B90C70">
        <w:rPr>
          <w:b/>
          <w:bCs/>
          <w:i/>
          <w:iCs/>
          <w:sz w:val="28"/>
          <w:szCs w:val="28"/>
        </w:rPr>
        <w:t>Warrant Article I – Operating Budget</w:t>
      </w:r>
    </w:p>
    <w:p w14:paraId="5F470FA1" w14:textId="77777777" w:rsidR="00900DE0" w:rsidRDefault="00E34254">
      <w:r>
        <w:t xml:space="preserve">The proposed </w:t>
      </w:r>
      <w:r w:rsidR="00584B59">
        <w:t xml:space="preserve">Gross </w:t>
      </w:r>
      <w:r>
        <w:t>Budget for the 2023-24 school year is $56,106,282.  That includes all costs associated with running the district:  staffing, curriculum and programs, and facility related costs.</w:t>
      </w:r>
    </w:p>
    <w:p w14:paraId="442F721F" w14:textId="77777777" w:rsidR="00584B59" w:rsidRDefault="00900DE0">
      <w:r>
        <w:t xml:space="preserve">It </w:t>
      </w:r>
      <w:r w:rsidR="00310610">
        <w:t>i</w:t>
      </w:r>
      <w:r>
        <w:t xml:space="preserve">ncludes </w:t>
      </w:r>
      <w:r w:rsidR="00056713">
        <w:t xml:space="preserve">$2.287 million </w:t>
      </w:r>
      <w:r w:rsidR="00B90C70">
        <w:t xml:space="preserve">for </w:t>
      </w:r>
      <w:r>
        <w:t xml:space="preserve">costs associated with various Federal and state programs, </w:t>
      </w:r>
      <w:r w:rsidR="00584B59">
        <w:t>such as</w:t>
      </w:r>
      <w:r>
        <w:t xml:space="preserve"> special education and child nutrition.  Note that these costs are directly offset by </w:t>
      </w:r>
      <w:r w:rsidR="00B90C70">
        <w:t xml:space="preserve">federal/state </w:t>
      </w:r>
      <w:r>
        <w:t>revenues.</w:t>
      </w:r>
    </w:p>
    <w:p w14:paraId="6B39F8E9" w14:textId="77777777" w:rsidR="00584B59" w:rsidRDefault="00584B59">
      <w:r>
        <w:t>The Gross Budget also includes funding of the various District Trust Funds.  These are subject to separate voting (Warrant Articles 2 through 7) and are not shown below.</w:t>
      </w:r>
    </w:p>
    <w:tbl>
      <w:tblPr>
        <w:tblStyle w:val="GridTable7Colorful-Accent3"/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1638"/>
        <w:gridCol w:w="1896"/>
        <w:gridCol w:w="1873"/>
        <w:gridCol w:w="1866"/>
      </w:tblGrid>
      <w:tr w:rsidR="00666961" w14:paraId="7D1D23E4" w14:textId="77777777" w:rsidTr="006669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7" w:type="dxa"/>
          </w:tcPr>
          <w:p w14:paraId="2A0EE0D5" w14:textId="77777777" w:rsidR="00666961" w:rsidRDefault="00666961" w:rsidP="00B90C70">
            <w:pPr>
              <w:jc w:val="left"/>
            </w:pPr>
          </w:p>
        </w:tc>
        <w:tc>
          <w:tcPr>
            <w:tcW w:w="1638" w:type="dxa"/>
          </w:tcPr>
          <w:p w14:paraId="17D40B4C" w14:textId="77777777" w:rsidR="00666961" w:rsidRDefault="006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</w:tcPr>
          <w:p w14:paraId="3CC213C3" w14:textId="77777777" w:rsidR="00666961" w:rsidRDefault="006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3" w:type="dxa"/>
          </w:tcPr>
          <w:p w14:paraId="7C7CFFAB" w14:textId="77777777" w:rsidR="00666961" w:rsidRDefault="006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</w:tcPr>
          <w:p w14:paraId="62694F89" w14:textId="77777777" w:rsidR="00666961" w:rsidRDefault="0066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6961" w14:paraId="3ECBCE94" w14:textId="77777777" w:rsidTr="006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61F6DBF6" w14:textId="77777777" w:rsidR="00666961" w:rsidRDefault="00666961">
            <w:r>
              <w:t xml:space="preserve"> </w:t>
            </w:r>
          </w:p>
        </w:tc>
        <w:tc>
          <w:tcPr>
            <w:tcW w:w="1638" w:type="dxa"/>
          </w:tcPr>
          <w:p w14:paraId="56614934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B52DD">
              <w:rPr>
                <w:i/>
                <w:iCs/>
              </w:rPr>
              <w:t>Current</w:t>
            </w:r>
          </w:p>
          <w:p w14:paraId="6D422BC0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B52DD">
              <w:rPr>
                <w:i/>
                <w:iCs/>
              </w:rPr>
              <w:t>FY22-23</w:t>
            </w:r>
          </w:p>
        </w:tc>
        <w:tc>
          <w:tcPr>
            <w:tcW w:w="1896" w:type="dxa"/>
          </w:tcPr>
          <w:p w14:paraId="1E95591E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B52DD">
              <w:rPr>
                <w:i/>
                <w:iCs/>
              </w:rPr>
              <w:t>Proposed</w:t>
            </w:r>
          </w:p>
          <w:p w14:paraId="62888AD2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B52DD">
              <w:rPr>
                <w:i/>
                <w:iCs/>
              </w:rPr>
              <w:t>FY23-24</w:t>
            </w:r>
          </w:p>
        </w:tc>
        <w:tc>
          <w:tcPr>
            <w:tcW w:w="1873" w:type="dxa"/>
          </w:tcPr>
          <w:p w14:paraId="2B427999" w14:textId="77777777" w:rsidR="00666961" w:rsidRDefault="00723400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Proposed</w:t>
            </w:r>
          </w:p>
          <w:p w14:paraId="303FBE38" w14:textId="77777777" w:rsidR="00666961" w:rsidRPr="001B52DD" w:rsidRDefault="00723400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Increase</w:t>
            </w:r>
          </w:p>
        </w:tc>
        <w:tc>
          <w:tcPr>
            <w:tcW w:w="1866" w:type="dxa"/>
          </w:tcPr>
          <w:p w14:paraId="187149CE" w14:textId="77777777" w:rsidR="00666961" w:rsidRPr="00723400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highlight w:val="lightGray"/>
              </w:rPr>
            </w:pPr>
            <w:r w:rsidRPr="00723400">
              <w:rPr>
                <w:i/>
                <w:iCs/>
                <w:highlight w:val="lightGray"/>
              </w:rPr>
              <w:t>Default</w:t>
            </w:r>
          </w:p>
          <w:p w14:paraId="4D29270C" w14:textId="77777777" w:rsidR="00666961" w:rsidRPr="00723400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highlight w:val="lightGray"/>
              </w:rPr>
            </w:pPr>
            <w:r w:rsidRPr="00723400">
              <w:rPr>
                <w:i/>
                <w:iCs/>
                <w:highlight w:val="lightGray"/>
              </w:rPr>
              <w:t>FY23-24</w:t>
            </w:r>
          </w:p>
        </w:tc>
      </w:tr>
      <w:tr w:rsidR="00666961" w14:paraId="675CA0D1" w14:textId="77777777" w:rsidTr="00666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2BC0C7BA" w14:textId="77777777" w:rsidR="00666961" w:rsidRDefault="00666961">
            <w:r>
              <w:t>Operating Budget</w:t>
            </w:r>
          </w:p>
        </w:tc>
        <w:tc>
          <w:tcPr>
            <w:tcW w:w="1638" w:type="dxa"/>
          </w:tcPr>
          <w:p w14:paraId="1DBAFABF" w14:textId="77777777" w:rsidR="00666961" w:rsidRPr="001B52DD" w:rsidRDefault="00666961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$53,101,036</w:t>
            </w:r>
          </w:p>
        </w:tc>
        <w:tc>
          <w:tcPr>
            <w:tcW w:w="1896" w:type="dxa"/>
          </w:tcPr>
          <w:p w14:paraId="29323280" w14:textId="77777777" w:rsidR="00666961" w:rsidRPr="001B52DD" w:rsidRDefault="00666961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B52DD">
              <w:t>$53, 819,282</w:t>
            </w:r>
          </w:p>
        </w:tc>
        <w:tc>
          <w:tcPr>
            <w:tcW w:w="1873" w:type="dxa"/>
          </w:tcPr>
          <w:p w14:paraId="05C82C6C" w14:textId="77777777" w:rsidR="00666961" w:rsidRPr="001B52DD" w:rsidRDefault="00666961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$718,246   1.35%</w:t>
            </w:r>
          </w:p>
        </w:tc>
        <w:tc>
          <w:tcPr>
            <w:tcW w:w="1866" w:type="dxa"/>
          </w:tcPr>
          <w:p w14:paraId="6B5CEF7E" w14:textId="00A28A8E" w:rsidR="00666961" w:rsidRPr="00723400" w:rsidRDefault="00723400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$52,457,</w:t>
            </w:r>
            <w:r w:rsidR="004152D4">
              <w:rPr>
                <w:highlight w:val="lightGray"/>
              </w:rPr>
              <w:t>67</w:t>
            </w:r>
            <w:r>
              <w:rPr>
                <w:highlight w:val="lightGray"/>
              </w:rPr>
              <w:t>4</w:t>
            </w:r>
          </w:p>
        </w:tc>
      </w:tr>
      <w:tr w:rsidR="00666961" w14:paraId="7F12DAD0" w14:textId="77777777" w:rsidTr="006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67926F6E" w14:textId="77777777" w:rsidR="00666961" w:rsidRDefault="00666961">
            <w:r>
              <w:t>Federal Programs</w:t>
            </w:r>
          </w:p>
        </w:tc>
        <w:tc>
          <w:tcPr>
            <w:tcW w:w="1638" w:type="dxa"/>
          </w:tcPr>
          <w:p w14:paraId="77C9B250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$2,287,000</w:t>
            </w:r>
          </w:p>
        </w:tc>
        <w:tc>
          <w:tcPr>
            <w:tcW w:w="1896" w:type="dxa"/>
          </w:tcPr>
          <w:p w14:paraId="0FCAA1B9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2DD">
              <w:t>$2,287,000</w:t>
            </w:r>
          </w:p>
        </w:tc>
        <w:tc>
          <w:tcPr>
            <w:tcW w:w="1873" w:type="dxa"/>
          </w:tcPr>
          <w:p w14:paraId="6BAAF705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</w:tcPr>
          <w:p w14:paraId="18D3593B" w14:textId="77777777" w:rsidR="00666961" w:rsidRPr="00723400" w:rsidRDefault="00723400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$2,287,000</w:t>
            </w:r>
          </w:p>
        </w:tc>
      </w:tr>
      <w:tr w:rsidR="00666961" w14:paraId="4663DA3C" w14:textId="77777777" w:rsidTr="006669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1161481D" w14:textId="77777777" w:rsidR="00666961" w:rsidRDefault="00666961">
            <w:r>
              <w:t>Trust Funds</w:t>
            </w:r>
          </w:p>
        </w:tc>
        <w:tc>
          <w:tcPr>
            <w:tcW w:w="1638" w:type="dxa"/>
          </w:tcPr>
          <w:p w14:paraId="5C183F66" w14:textId="77777777" w:rsidR="00666961" w:rsidRPr="001B52DD" w:rsidRDefault="00666961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$1,000,000</w:t>
            </w:r>
          </w:p>
        </w:tc>
        <w:tc>
          <w:tcPr>
            <w:tcW w:w="1896" w:type="dxa"/>
          </w:tcPr>
          <w:p w14:paraId="2945151B" w14:textId="77777777" w:rsidR="00666961" w:rsidRPr="001B52DD" w:rsidRDefault="00666961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 2-7</w:t>
            </w:r>
          </w:p>
        </w:tc>
        <w:tc>
          <w:tcPr>
            <w:tcW w:w="1873" w:type="dxa"/>
          </w:tcPr>
          <w:p w14:paraId="5A47799C" w14:textId="77777777" w:rsidR="00666961" w:rsidRPr="001B52DD" w:rsidRDefault="00666961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6" w:type="dxa"/>
          </w:tcPr>
          <w:p w14:paraId="0311367C" w14:textId="77777777" w:rsidR="00666961" w:rsidRPr="00723400" w:rsidRDefault="00723400" w:rsidP="001B52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WA 2-7</w:t>
            </w:r>
          </w:p>
        </w:tc>
      </w:tr>
      <w:tr w:rsidR="00666961" w14:paraId="5C1C5819" w14:textId="77777777" w:rsidTr="00666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7" w:type="dxa"/>
          </w:tcPr>
          <w:p w14:paraId="7FB8098F" w14:textId="77777777" w:rsidR="00666961" w:rsidRDefault="00666961">
            <w:r>
              <w:t>Gross Budget</w:t>
            </w:r>
          </w:p>
        </w:tc>
        <w:tc>
          <w:tcPr>
            <w:tcW w:w="1638" w:type="dxa"/>
          </w:tcPr>
          <w:p w14:paraId="5253BB05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$56,388,036</w:t>
            </w:r>
          </w:p>
        </w:tc>
        <w:tc>
          <w:tcPr>
            <w:tcW w:w="1896" w:type="dxa"/>
          </w:tcPr>
          <w:p w14:paraId="713A8342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$56,106,282</w:t>
            </w:r>
          </w:p>
        </w:tc>
        <w:tc>
          <w:tcPr>
            <w:tcW w:w="1873" w:type="dxa"/>
          </w:tcPr>
          <w:p w14:paraId="6CCA7003" w14:textId="77777777" w:rsidR="00666961" w:rsidRPr="001B52DD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6" w:type="dxa"/>
          </w:tcPr>
          <w:p w14:paraId="2D3818CE" w14:textId="745E00AF" w:rsidR="00666961" w:rsidRPr="00723400" w:rsidRDefault="00666961" w:rsidP="001B52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23400">
              <w:rPr>
                <w:highlight w:val="lightGray"/>
              </w:rPr>
              <w:t>$5</w:t>
            </w:r>
            <w:r w:rsidR="004152D4">
              <w:rPr>
                <w:highlight w:val="lightGray"/>
              </w:rPr>
              <w:t>4</w:t>
            </w:r>
            <w:r w:rsidRPr="00723400">
              <w:rPr>
                <w:highlight w:val="lightGray"/>
              </w:rPr>
              <w:t>,744,</w:t>
            </w:r>
            <w:r w:rsidR="004152D4">
              <w:rPr>
                <w:highlight w:val="lightGray"/>
              </w:rPr>
              <w:t>67</w:t>
            </w:r>
            <w:r w:rsidRPr="00723400">
              <w:rPr>
                <w:highlight w:val="lightGray"/>
              </w:rPr>
              <w:t>4</w:t>
            </w:r>
          </w:p>
        </w:tc>
      </w:tr>
    </w:tbl>
    <w:p w14:paraId="466C98F0" w14:textId="77777777" w:rsidR="00B90C70" w:rsidRDefault="00B90C70"/>
    <w:p w14:paraId="4F341191" w14:textId="77777777" w:rsidR="00584B59" w:rsidRDefault="00B90C70">
      <w:r>
        <w:rPr>
          <w:noProof/>
        </w:rPr>
        <w:drawing>
          <wp:anchor distT="0" distB="0" distL="114300" distR="114300" simplePos="0" relativeHeight="251658240" behindDoc="0" locked="0" layoutInCell="1" allowOverlap="1" wp14:anchorId="10577ADF" wp14:editId="07116434">
            <wp:simplePos x="0" y="0"/>
            <wp:positionH relativeFrom="margin">
              <wp:posOffset>3600450</wp:posOffset>
            </wp:positionH>
            <wp:positionV relativeFrom="paragraph">
              <wp:posOffset>407670</wp:posOffset>
            </wp:positionV>
            <wp:extent cx="2291080" cy="1774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B59">
        <w:t>The size of the “Operating Budget” determines levels of staffing, the curriculum and programs we can offer</w:t>
      </w:r>
      <w:r w:rsidR="00056713">
        <w:t xml:space="preserve"> our students</w:t>
      </w:r>
      <w:r w:rsidR="00584B59">
        <w:t>, all supplies and materials, and the costs to operate and maintain District facilities and equipment.</w:t>
      </w:r>
    </w:p>
    <w:p w14:paraId="1B92D479" w14:textId="77777777" w:rsidR="00056713" w:rsidRDefault="00666961">
      <w:r>
        <w:t>The proposed Operating budget is well scrubbed - it is only 1.35% higher than our current budget.  Given the current high inflation environment, this is remarkable</w:t>
      </w:r>
      <w:r w:rsidR="00B90C70">
        <w:t>.</w:t>
      </w:r>
      <w:r>
        <w:t xml:space="preserve">  </w:t>
      </w:r>
      <w:r w:rsidR="00B90C70">
        <w:t>I</w:t>
      </w:r>
      <w:r>
        <w:t>nclude</w:t>
      </w:r>
      <w:r w:rsidR="00B90C70">
        <w:t>d are</w:t>
      </w:r>
      <w:r>
        <w:t xml:space="preserve"> the </w:t>
      </w:r>
      <w:r w:rsidR="00B90C70">
        <w:t xml:space="preserve">salary and benefit </w:t>
      </w:r>
      <w:r>
        <w:t>cost</w:t>
      </w:r>
      <w:r w:rsidR="00B90C70">
        <w:t xml:space="preserve"> increase</w:t>
      </w:r>
      <w:r>
        <w:t>s associated with the second year of the collective bargaining agreement approved by voters last March</w:t>
      </w:r>
      <w:r w:rsidR="00B90C70">
        <w:t xml:space="preserve">.  </w:t>
      </w:r>
      <w:r>
        <w:t xml:space="preserve"> </w:t>
      </w:r>
      <w:r w:rsidR="00B90C70">
        <w:t>There are</w:t>
      </w:r>
      <w:r>
        <w:t xml:space="preserve"> significant increases in electric, heat, and fuel and transportation costs</w:t>
      </w:r>
      <w:r w:rsidR="00B90C70">
        <w:t xml:space="preserve"> as well</w:t>
      </w:r>
      <w:r>
        <w:t>.</w:t>
      </w:r>
    </w:p>
    <w:p w14:paraId="6AEDF5E7" w14:textId="77777777" w:rsidR="00666961" w:rsidRDefault="00666961">
      <w:r>
        <w:t xml:space="preserve">If the proposed budget fails to pass, </w:t>
      </w:r>
      <w:r w:rsidR="00B90C70">
        <w:t xml:space="preserve">the District operating budget will be determined by the prescribed “default” calculation. That </w:t>
      </w:r>
      <w:r w:rsidR="00B90C70" w:rsidRPr="00B90C70">
        <w:rPr>
          <w:i/>
          <w:iCs/>
          <w:u w:val="single"/>
        </w:rPr>
        <w:t>will require</w:t>
      </w:r>
      <w:r w:rsidR="00B90C70">
        <w:t xml:space="preserve"> </w:t>
      </w:r>
      <w:r>
        <w:t>significant cuts in staffing, programs, and facilities</w:t>
      </w:r>
      <w:r w:rsidR="00B90C70">
        <w:t xml:space="preserve"> in comparison to both the current and the proposed operating budgets.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373"/>
        <w:gridCol w:w="2437"/>
        <w:gridCol w:w="2383"/>
      </w:tblGrid>
      <w:tr w:rsidR="00723400" w14:paraId="7E17755B" w14:textId="77777777" w:rsidTr="00723400">
        <w:tc>
          <w:tcPr>
            <w:tcW w:w="2157" w:type="dxa"/>
          </w:tcPr>
          <w:p w14:paraId="45FF97DA" w14:textId="77777777" w:rsidR="00723400" w:rsidRDefault="00723400"/>
        </w:tc>
        <w:tc>
          <w:tcPr>
            <w:tcW w:w="2373" w:type="dxa"/>
          </w:tcPr>
          <w:p w14:paraId="797166A0" w14:textId="77777777" w:rsidR="00723400" w:rsidRDefault="00723400" w:rsidP="00056713">
            <w:pPr>
              <w:jc w:val="center"/>
            </w:pPr>
            <w:r>
              <w:t>Default FY23-24</w:t>
            </w:r>
          </w:p>
        </w:tc>
        <w:tc>
          <w:tcPr>
            <w:tcW w:w="2437" w:type="dxa"/>
          </w:tcPr>
          <w:p w14:paraId="0E7AFF90" w14:textId="77777777" w:rsidR="00723400" w:rsidRDefault="00723400" w:rsidP="00056713">
            <w:pPr>
              <w:jc w:val="center"/>
            </w:pPr>
            <w:r>
              <w:t>Proposed FY23-24</w:t>
            </w:r>
          </w:p>
        </w:tc>
        <w:tc>
          <w:tcPr>
            <w:tcW w:w="2383" w:type="dxa"/>
          </w:tcPr>
          <w:p w14:paraId="1FAAFF79" w14:textId="77777777" w:rsidR="00723400" w:rsidRDefault="00723400" w:rsidP="00056713">
            <w:pPr>
              <w:jc w:val="center"/>
            </w:pPr>
            <w:r>
              <w:t>Current FY22-23</w:t>
            </w:r>
          </w:p>
        </w:tc>
      </w:tr>
      <w:tr w:rsidR="00723400" w14:paraId="4AE590CE" w14:textId="77777777" w:rsidTr="00723400">
        <w:tc>
          <w:tcPr>
            <w:tcW w:w="2157" w:type="dxa"/>
          </w:tcPr>
          <w:p w14:paraId="64FE314C" w14:textId="77777777" w:rsidR="00723400" w:rsidRDefault="00723400">
            <w:r>
              <w:t>Operating Budget $</w:t>
            </w:r>
          </w:p>
        </w:tc>
        <w:tc>
          <w:tcPr>
            <w:tcW w:w="2373" w:type="dxa"/>
          </w:tcPr>
          <w:p w14:paraId="06B61996" w14:textId="7914826E" w:rsidR="00723400" w:rsidRDefault="00723400" w:rsidP="00056713">
            <w:pPr>
              <w:jc w:val="center"/>
            </w:pPr>
            <w:r>
              <w:t>$52,457,</w:t>
            </w:r>
            <w:r w:rsidR="004152D4">
              <w:t>67</w:t>
            </w:r>
            <w:r>
              <w:t>4</w:t>
            </w:r>
          </w:p>
        </w:tc>
        <w:tc>
          <w:tcPr>
            <w:tcW w:w="2437" w:type="dxa"/>
          </w:tcPr>
          <w:p w14:paraId="13005554" w14:textId="25EE51FD" w:rsidR="00723400" w:rsidRDefault="00723400" w:rsidP="00056713">
            <w:pPr>
              <w:jc w:val="center"/>
            </w:pPr>
            <w:r>
              <w:t>$5</w:t>
            </w:r>
            <w:r w:rsidR="00DB49E1">
              <w:t>3,819,282</w:t>
            </w:r>
          </w:p>
        </w:tc>
        <w:tc>
          <w:tcPr>
            <w:tcW w:w="2383" w:type="dxa"/>
          </w:tcPr>
          <w:p w14:paraId="0ED63616" w14:textId="26BD8A40" w:rsidR="00723400" w:rsidRDefault="00723400" w:rsidP="00056713">
            <w:pPr>
              <w:jc w:val="center"/>
            </w:pPr>
            <w:r>
              <w:t>$5</w:t>
            </w:r>
            <w:r w:rsidR="00DB49E1">
              <w:t>3,101,036</w:t>
            </w:r>
          </w:p>
        </w:tc>
      </w:tr>
      <w:tr w:rsidR="00723400" w14:paraId="07A0B210" w14:textId="77777777" w:rsidTr="00723400">
        <w:tc>
          <w:tcPr>
            <w:tcW w:w="2157" w:type="dxa"/>
          </w:tcPr>
          <w:p w14:paraId="63F10C1F" w14:textId="77777777" w:rsidR="00723400" w:rsidRDefault="00723400">
            <w:r>
              <w:t>Required Cuts</w:t>
            </w:r>
          </w:p>
        </w:tc>
        <w:tc>
          <w:tcPr>
            <w:tcW w:w="2373" w:type="dxa"/>
          </w:tcPr>
          <w:p w14:paraId="316AE092" w14:textId="77777777" w:rsidR="00723400" w:rsidRDefault="00723400" w:rsidP="00056713">
            <w:pPr>
              <w:jc w:val="center"/>
            </w:pPr>
          </w:p>
        </w:tc>
        <w:tc>
          <w:tcPr>
            <w:tcW w:w="2437" w:type="dxa"/>
          </w:tcPr>
          <w:p w14:paraId="6C361CAD" w14:textId="6B92D664" w:rsidR="00723400" w:rsidRDefault="00723400" w:rsidP="00056713">
            <w:pPr>
              <w:jc w:val="center"/>
            </w:pPr>
            <w:r>
              <w:t>-$1,</w:t>
            </w:r>
            <w:r w:rsidR="00056713">
              <w:t>361,</w:t>
            </w:r>
            <w:r w:rsidR="007E2DA9">
              <w:t>60</w:t>
            </w:r>
            <w:bookmarkStart w:id="0" w:name="_GoBack"/>
            <w:bookmarkEnd w:id="0"/>
            <w:r w:rsidR="00056713">
              <w:t>8</w:t>
            </w:r>
          </w:p>
        </w:tc>
        <w:tc>
          <w:tcPr>
            <w:tcW w:w="2383" w:type="dxa"/>
          </w:tcPr>
          <w:p w14:paraId="72F6F84E" w14:textId="2C00EC70" w:rsidR="00723400" w:rsidRDefault="00056713" w:rsidP="00056713">
            <w:pPr>
              <w:jc w:val="center"/>
            </w:pPr>
            <w:r>
              <w:t>-$643,</w:t>
            </w:r>
            <w:r w:rsidR="004152D4">
              <w:t>36</w:t>
            </w:r>
            <w:r>
              <w:t>2</w:t>
            </w:r>
          </w:p>
        </w:tc>
      </w:tr>
    </w:tbl>
    <w:p w14:paraId="3ADBCEAE" w14:textId="77777777" w:rsidR="00B90C70" w:rsidRDefault="00B90C70"/>
    <w:p w14:paraId="1D94ABE6" w14:textId="77777777" w:rsidR="00056713" w:rsidRDefault="00056713">
      <w:r>
        <w:t xml:space="preserve">The School Board has posted additional information explaining the budgets in greater detail and has posted then on the following website:   </w:t>
      </w:r>
      <w:hyperlink r:id="rId5" w:history="1">
        <w:r w:rsidRPr="002B1295">
          <w:rPr>
            <w:rStyle w:val="Hyperlink"/>
          </w:rPr>
          <w:t>https://schoolboard.convalsd.net/budget/</w:t>
        </w:r>
      </w:hyperlink>
      <w:r>
        <w:t xml:space="preserve"> </w:t>
      </w:r>
    </w:p>
    <w:p w14:paraId="6B93635B" w14:textId="77777777" w:rsidR="00056713" w:rsidRDefault="00056713">
      <w:r>
        <w:t xml:space="preserve">The Board will also host a Community Forum on March 6, 2023 that will be focused on the proposed budget.  You are encouraged to attend </w:t>
      </w:r>
      <w:r w:rsidR="00B90C70">
        <w:t xml:space="preserve">either </w:t>
      </w:r>
      <w:r>
        <w:t>in person (CVHS Lucy Hurlin Theater 6:00 PM) or online</w:t>
      </w:r>
      <w:r w:rsidR="00B90C70">
        <w:t>.</w:t>
      </w:r>
    </w:p>
    <w:sectPr w:rsidR="00056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54"/>
    <w:rsid w:val="00056713"/>
    <w:rsid w:val="0006414D"/>
    <w:rsid w:val="001B52DD"/>
    <w:rsid w:val="00310610"/>
    <w:rsid w:val="00377FDB"/>
    <w:rsid w:val="004152D4"/>
    <w:rsid w:val="00584B59"/>
    <w:rsid w:val="00666961"/>
    <w:rsid w:val="00723400"/>
    <w:rsid w:val="007E2DA9"/>
    <w:rsid w:val="00875CC3"/>
    <w:rsid w:val="00900DE0"/>
    <w:rsid w:val="00B90C70"/>
    <w:rsid w:val="00DB49E1"/>
    <w:rsid w:val="00E3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951F2"/>
  <w15:chartTrackingRefBased/>
  <w15:docId w15:val="{770DC31C-F9D5-4851-AB78-405F13AE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342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E34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3">
    <w:name w:val="Grid Table 4 Accent 3"/>
    <w:basedOn w:val="TableNormal"/>
    <w:uiPriority w:val="49"/>
    <w:rsid w:val="00E3425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E342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3">
    <w:name w:val="List Table 3"/>
    <w:basedOn w:val="TableNormal"/>
    <w:uiPriority w:val="48"/>
    <w:rsid w:val="00E342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425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567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board.convalsd.net/budg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Fredrickson</dc:creator>
  <cp:keywords/>
  <dc:description/>
  <cp:lastModifiedBy>Lori Schmidt</cp:lastModifiedBy>
  <cp:revision>2</cp:revision>
  <cp:lastPrinted>2023-02-24T19:40:00Z</cp:lastPrinted>
  <dcterms:created xsi:type="dcterms:W3CDTF">2023-03-22T15:33:00Z</dcterms:created>
  <dcterms:modified xsi:type="dcterms:W3CDTF">2023-03-22T15:33:00Z</dcterms:modified>
</cp:coreProperties>
</file>